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73" w:rsidRDefault="002B099C" w:rsidP="002B099C">
      <w:pPr>
        <w:jc w:val="center"/>
        <w:rPr>
          <w:rFonts w:ascii="Sylfaen" w:hAnsi="Sylfaen"/>
          <w:b/>
          <w:lang w:val="ka-GE"/>
        </w:rPr>
      </w:pPr>
      <w:r w:rsidRPr="00AD6673">
        <w:rPr>
          <w:rFonts w:ascii="Sylfaen" w:hAnsi="Sylfaen"/>
          <w:b/>
          <w:lang w:val="ka-GE"/>
        </w:rPr>
        <w:t xml:space="preserve">ბავშვთა სიღარიბის შემცირების </w:t>
      </w:r>
    </w:p>
    <w:p w:rsidR="002B099C" w:rsidRDefault="001E56F6" w:rsidP="002B099C">
      <w:pPr>
        <w:jc w:val="center"/>
        <w:rPr>
          <w:rFonts w:ascii="Sylfaen" w:hAnsi="Sylfaen"/>
          <w:b/>
          <w:lang w:val="ka-GE"/>
        </w:rPr>
      </w:pPr>
      <w:r w:rsidRPr="00AD6673">
        <w:rPr>
          <w:rFonts w:ascii="Sylfaen" w:hAnsi="Sylfaen"/>
          <w:b/>
          <w:lang w:val="ka-GE"/>
        </w:rPr>
        <w:t>კონცეპტუალური</w:t>
      </w:r>
      <w:r w:rsidR="00AD6673" w:rsidRPr="00AD6673">
        <w:rPr>
          <w:rFonts w:ascii="Sylfaen" w:hAnsi="Sylfaen"/>
          <w:b/>
          <w:lang w:val="ka-GE"/>
        </w:rPr>
        <w:t xml:space="preserve"> </w:t>
      </w:r>
      <w:r w:rsidRPr="00AD6673">
        <w:rPr>
          <w:rFonts w:ascii="Sylfaen" w:hAnsi="Sylfaen"/>
          <w:b/>
          <w:lang w:val="ka-GE"/>
        </w:rPr>
        <w:t>საკითხები</w:t>
      </w:r>
    </w:p>
    <w:p w:rsidR="007B478B" w:rsidRPr="00AD6673" w:rsidRDefault="007B478B" w:rsidP="002B099C">
      <w:pPr>
        <w:jc w:val="center"/>
        <w:rPr>
          <w:rFonts w:ascii="Sylfaen" w:hAnsi="Sylfaen"/>
          <w:b/>
          <w:lang w:val="ka-GE"/>
        </w:rPr>
      </w:pPr>
    </w:p>
    <w:p w:rsidR="00000000" w:rsidRPr="001E56F6" w:rsidRDefault="002B099C" w:rsidP="00AA79E1">
      <w:pPr>
        <w:tabs>
          <w:tab w:val="num" w:pos="720"/>
        </w:tabs>
        <w:jc w:val="both"/>
        <w:rPr>
          <w:rFonts w:ascii="Sylfaen" w:hAnsi="Sylfaen"/>
          <w:lang w:val="ka-GE"/>
        </w:rPr>
      </w:pPr>
      <w:r w:rsidRPr="001E56F6">
        <w:rPr>
          <w:rFonts w:ascii="Sylfaen" w:hAnsi="Sylfaen"/>
          <w:lang w:val="ka-GE"/>
        </w:rPr>
        <w:t xml:space="preserve">„მოსახლეობის კეთილდღეობის </w:t>
      </w:r>
      <w:r w:rsidRPr="001E56F6">
        <w:rPr>
          <w:rFonts w:ascii="Sylfaen" w:hAnsi="Sylfaen"/>
          <w:lang w:val="ka-GE"/>
        </w:rPr>
        <w:t xml:space="preserve">2017 </w:t>
      </w:r>
      <w:r w:rsidRPr="001E56F6">
        <w:rPr>
          <w:rFonts w:ascii="Sylfaen" w:hAnsi="Sylfaen"/>
          <w:lang w:val="ka-GE"/>
        </w:rPr>
        <w:t xml:space="preserve">წლის კვლევის“ თანახმად, რომელსაც </w:t>
      </w:r>
      <w:r w:rsidRPr="001E56F6">
        <w:rPr>
          <w:rFonts w:ascii="Sylfaen" w:hAnsi="Sylfaen"/>
          <w:lang w:val="ka-GE"/>
        </w:rPr>
        <w:t xml:space="preserve">გაეროს ბავშვთა </w:t>
      </w:r>
      <w:r w:rsidRPr="001E56F6">
        <w:rPr>
          <w:rFonts w:ascii="Sylfaen" w:hAnsi="Sylfaen"/>
          <w:lang w:val="ka-GE"/>
        </w:rPr>
        <w:t xml:space="preserve">ფონდი ყოველ ორ წელიწადში ერთხელ ატარებს,  ბავშვთა უკიდურესი სიღარიბე 6.8%-ია, ხოლო ბავშვთა ზოგადი სიღარიბე - 27.6%. </w:t>
      </w:r>
      <w:r w:rsidR="000672E9" w:rsidRPr="001E56F6">
        <w:rPr>
          <w:rFonts w:ascii="Sylfaen" w:hAnsi="Sylfaen"/>
          <w:lang w:val="ka-GE"/>
        </w:rPr>
        <w:t xml:space="preserve">როგორც კვლევაშია აღნიშნული </w:t>
      </w:r>
      <w:r w:rsidR="000672E9" w:rsidRPr="001E56F6">
        <w:rPr>
          <w:rFonts w:ascii="Sylfaen" w:hAnsi="Sylfaen"/>
        </w:rPr>
        <w:t>“</w:t>
      </w:r>
      <w:proofErr w:type="spellStart"/>
      <w:r w:rsidR="000672E9" w:rsidRPr="001E56F6">
        <w:rPr>
          <w:rFonts w:ascii="Sylfaen" w:hAnsi="Sylfaen" w:cs="Sylfaen"/>
        </w:rPr>
        <w:t>ბავშვები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კვლავ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უფრო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მეტად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დგანან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სიღარიბის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საფრთხის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წინაშე</w:t>
      </w:r>
      <w:proofErr w:type="spellEnd"/>
      <w:r w:rsidR="000672E9" w:rsidRPr="001E56F6">
        <w:t xml:space="preserve">, </w:t>
      </w:r>
      <w:proofErr w:type="spellStart"/>
      <w:r w:rsidR="000672E9" w:rsidRPr="001E56F6">
        <w:rPr>
          <w:rFonts w:ascii="Sylfaen" w:hAnsi="Sylfaen" w:cs="Sylfaen"/>
        </w:rPr>
        <w:t>ვიდრე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ზოგადად</w:t>
      </w:r>
      <w:proofErr w:type="spellEnd"/>
      <w:r w:rsidR="000672E9" w:rsidRPr="001E56F6">
        <w:t xml:space="preserve">, </w:t>
      </w:r>
      <w:proofErr w:type="spellStart"/>
      <w:r w:rsidR="000672E9" w:rsidRPr="001E56F6">
        <w:rPr>
          <w:rFonts w:ascii="Sylfaen" w:hAnsi="Sylfaen" w:cs="Sylfaen"/>
        </w:rPr>
        <w:t>მოსახლეობა</w:t>
      </w:r>
      <w:proofErr w:type="spellEnd"/>
      <w:r w:rsidR="000672E9" w:rsidRPr="001E56F6">
        <w:t xml:space="preserve">, </w:t>
      </w:r>
      <w:proofErr w:type="spellStart"/>
      <w:r w:rsidR="000672E9" w:rsidRPr="001E56F6">
        <w:rPr>
          <w:rFonts w:ascii="Sylfaen" w:hAnsi="Sylfaen" w:cs="Sylfaen"/>
        </w:rPr>
        <w:t>ან</w:t>
      </w:r>
      <w:proofErr w:type="spellEnd"/>
      <w:r w:rsidR="000672E9" w:rsidRPr="001E56F6">
        <w:t xml:space="preserve"> </w:t>
      </w:r>
      <w:proofErr w:type="spellStart"/>
      <w:r w:rsidR="000672E9" w:rsidRPr="001E56F6">
        <w:rPr>
          <w:rFonts w:ascii="Sylfaen" w:hAnsi="Sylfaen" w:cs="Sylfaen"/>
        </w:rPr>
        <w:t>პენსიონერები</w:t>
      </w:r>
      <w:proofErr w:type="spellEnd"/>
      <w:r w:rsidR="000672E9" w:rsidRPr="001E56F6">
        <w:t>.</w:t>
      </w:r>
      <w:r w:rsidR="000672E9" w:rsidRPr="001E56F6">
        <w:t>”.</w:t>
      </w:r>
      <w:r w:rsidR="000672E9" w:rsidRPr="001E56F6">
        <w:rPr>
          <w:rStyle w:val="FootnoteReference"/>
        </w:rPr>
        <w:footnoteReference w:id="1"/>
      </w:r>
      <w:r w:rsidR="000672E9" w:rsidRPr="001E56F6">
        <w:t xml:space="preserve"> </w:t>
      </w:r>
      <w:r w:rsidR="000672E9" w:rsidRPr="001E56F6">
        <w:rPr>
          <w:rFonts w:ascii="Sylfaen" w:hAnsi="Sylfaen"/>
          <w:lang w:val="ka-GE"/>
        </w:rPr>
        <w:t xml:space="preserve">კვლევა მიუთითებს, რომ „მიზნობრივი სოცილაუირ დახმარებისა და ბავშვის შემწეობის შემთხვევაში, მთლიანად გაცემული შემწეობის 69.7% ყველაზე ღარიბ დეცილში შემავალ შინამეურნეობებზე მოდის და მას ამ შინამეურნეობების 54.3% იღებს.  ამასთან, მიზნობრივი სოციალური დახმარების პროგრამას და ბავშვის ბენეფიტს (რომელიც 2015 წლიდან იქნა შემოღებული) </w:t>
      </w:r>
      <w:r w:rsidR="00AA79E1" w:rsidRPr="001E56F6">
        <w:rPr>
          <w:rFonts w:ascii="Sylfaen" w:hAnsi="Sylfaen"/>
          <w:lang w:val="ka-GE"/>
        </w:rPr>
        <w:t xml:space="preserve">ყველაზე პოზიტიური გავლენა აქვს ბავშვთა სიღარიბის შემცირებაზე. </w:t>
      </w:r>
      <w:r w:rsidR="00935713" w:rsidRPr="001E56F6">
        <w:rPr>
          <w:rFonts w:ascii="Sylfaen" w:hAnsi="Sylfaen"/>
          <w:lang w:val="ka-GE"/>
        </w:rPr>
        <w:t>მიზნობრივი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სოციალური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დახმარება</w:t>
      </w:r>
      <w:r w:rsidR="00935713" w:rsidRPr="001E56F6">
        <w:rPr>
          <w:rFonts w:ascii="Sylfaen" w:hAnsi="Sylfaen"/>
          <w:lang w:val="ka-GE"/>
        </w:rPr>
        <w:t>+</w:t>
      </w:r>
      <w:r w:rsidR="00935713" w:rsidRPr="001E56F6">
        <w:rPr>
          <w:rFonts w:ascii="Sylfaen" w:hAnsi="Sylfaen"/>
          <w:lang w:val="ka-GE"/>
        </w:rPr>
        <w:t>ბავშვის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შემწეობა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ყველაზ</w:t>
      </w:r>
      <w:r w:rsidR="00935713" w:rsidRPr="001E56F6">
        <w:rPr>
          <w:rFonts w:ascii="Sylfaen" w:hAnsi="Sylfaen"/>
          <w:lang w:val="ka-GE"/>
        </w:rPr>
        <w:t>ე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დადებითად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მოქმედებს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ბავშვთა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სიღარიბის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შემცირებაზე</w:t>
      </w:r>
      <w:r w:rsidR="00AA79E1" w:rsidRPr="001E56F6">
        <w:rPr>
          <w:rFonts w:ascii="Sylfaen" w:hAnsi="Sylfaen"/>
          <w:lang w:val="ka-GE"/>
        </w:rPr>
        <w:t xml:space="preserve">. </w:t>
      </w:r>
      <w:r w:rsidR="00935713" w:rsidRPr="001E56F6">
        <w:rPr>
          <w:rFonts w:ascii="Sylfaen" w:hAnsi="Sylfaen"/>
        </w:rPr>
        <w:t>TSA+CB</w:t>
      </w:r>
      <w:r w:rsidR="00935713" w:rsidRPr="001E56F6">
        <w:rPr>
          <w:rFonts w:ascii="Sylfaen" w:hAnsi="Sylfaen"/>
          <w:lang w:val="ka-GE"/>
        </w:rPr>
        <w:t>-</w:t>
      </w:r>
      <w:r w:rsidR="00935713" w:rsidRPr="001E56F6">
        <w:rPr>
          <w:rFonts w:ascii="Sylfaen" w:hAnsi="Sylfaen"/>
          <w:lang w:val="ka-GE"/>
        </w:rPr>
        <w:t>ის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გარეშე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ბავშვებში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უკიდურესი</w:t>
      </w:r>
      <w:r w:rsidR="00935713" w:rsidRPr="001E56F6">
        <w:rPr>
          <w:rFonts w:ascii="Sylfaen" w:hAnsi="Sylfaen"/>
          <w:lang w:val="ka-GE"/>
        </w:rPr>
        <w:t xml:space="preserve"> </w:t>
      </w:r>
      <w:r w:rsidR="00935713" w:rsidRPr="001E56F6">
        <w:rPr>
          <w:rFonts w:ascii="Sylfaen" w:hAnsi="Sylfaen"/>
          <w:lang w:val="ka-GE"/>
        </w:rPr>
        <w:t>სიღარიბე</w:t>
      </w:r>
      <w:r w:rsidR="00935713" w:rsidRPr="001E56F6">
        <w:rPr>
          <w:rFonts w:ascii="Sylfaen" w:hAnsi="Sylfaen"/>
          <w:lang w:val="ka-GE"/>
        </w:rPr>
        <w:t xml:space="preserve"> </w:t>
      </w:r>
      <w:proofErr w:type="gramStart"/>
      <w:r w:rsidR="00935713" w:rsidRPr="001E56F6">
        <w:rPr>
          <w:rFonts w:ascii="Sylfaen" w:hAnsi="Sylfaen"/>
          <w:lang w:val="ka-GE"/>
        </w:rPr>
        <w:t>გაიზრდებოდა</w:t>
      </w:r>
      <w:r w:rsidR="00AA79E1" w:rsidRPr="001E56F6">
        <w:rPr>
          <w:rFonts w:ascii="Sylfaen" w:hAnsi="Sylfaen"/>
          <w:lang w:val="ka-GE"/>
        </w:rPr>
        <w:t xml:space="preserve">  6.8</w:t>
      </w:r>
      <w:proofErr w:type="gramEnd"/>
      <w:r w:rsidR="00935713" w:rsidRPr="001E56F6">
        <w:rPr>
          <w:rFonts w:ascii="Sylfaen" w:hAnsi="Sylfaen"/>
          <w:lang w:val="ka-GE"/>
        </w:rPr>
        <w:t>-</w:t>
      </w:r>
      <w:r w:rsidR="00935713" w:rsidRPr="001E56F6">
        <w:rPr>
          <w:rFonts w:ascii="Sylfaen" w:hAnsi="Sylfaen"/>
          <w:lang w:val="ka-GE"/>
        </w:rPr>
        <w:t>დან</w:t>
      </w:r>
      <w:r w:rsidR="00935713" w:rsidRPr="001E56F6">
        <w:rPr>
          <w:rFonts w:ascii="Sylfaen" w:hAnsi="Sylfaen"/>
          <w:lang w:val="ka-GE"/>
        </w:rPr>
        <w:t xml:space="preserve"> 1</w:t>
      </w:r>
      <w:r w:rsidR="00935713" w:rsidRPr="001E56F6">
        <w:rPr>
          <w:rFonts w:ascii="Sylfaen" w:hAnsi="Sylfaen"/>
          <w:lang w:val="ka-GE"/>
        </w:rPr>
        <w:t>3.1%-</w:t>
      </w:r>
      <w:r w:rsidR="00935713" w:rsidRPr="001E56F6">
        <w:rPr>
          <w:rFonts w:ascii="Sylfaen" w:hAnsi="Sylfaen"/>
          <w:lang w:val="ka-GE"/>
        </w:rPr>
        <w:t>მდე</w:t>
      </w:r>
      <w:r w:rsidR="00AA79E1" w:rsidRPr="001E56F6">
        <w:rPr>
          <w:rFonts w:ascii="Sylfaen" w:hAnsi="Sylfaen"/>
          <w:lang w:val="ka-GE"/>
        </w:rPr>
        <w:t xml:space="preserve">. </w:t>
      </w:r>
    </w:p>
    <w:p w:rsidR="00AA79E1" w:rsidRPr="001E56F6" w:rsidRDefault="00AA79E1" w:rsidP="00AA79E1">
      <w:pPr>
        <w:tabs>
          <w:tab w:val="num" w:pos="720"/>
        </w:tabs>
        <w:jc w:val="both"/>
        <w:rPr>
          <w:rFonts w:ascii="Sylfaen" w:hAnsi="Sylfaen"/>
          <w:lang w:val="ka-GE"/>
        </w:rPr>
      </w:pPr>
      <w:r w:rsidRPr="001E56F6">
        <w:rPr>
          <w:rFonts w:ascii="Sylfaen" w:hAnsi="Sylfaen"/>
          <w:lang w:val="ka-GE"/>
        </w:rPr>
        <w:t xml:space="preserve">სწორედ ამიტომ 2019 წლიდან ბავშვის ბენეფიტი 100000-ზე ნაკლები სარეიტინგო ქულის მქონე ოჯახებში 16 წლამდე </w:t>
      </w:r>
      <w:r w:rsidR="00AD6673">
        <w:rPr>
          <w:rFonts w:ascii="Sylfaen" w:hAnsi="Sylfaen"/>
          <w:lang w:val="ka-GE"/>
        </w:rPr>
        <w:t>ბავშვ</w:t>
      </w:r>
      <w:r w:rsidRPr="001E56F6">
        <w:rPr>
          <w:rFonts w:ascii="Sylfaen" w:hAnsi="Sylfaen"/>
          <w:lang w:val="ka-GE"/>
        </w:rPr>
        <w:t xml:space="preserve">ებისთვის 10 ლარის ნაცვლად 50 ლარით განისაზღვრა. ამ მიზნისთვის პროგრამის ბიუჯეტს 70 მლნ. ლარი დაემატა. </w:t>
      </w:r>
    </w:p>
    <w:p w:rsidR="00AA79E1" w:rsidRPr="001E56F6" w:rsidRDefault="00AA79E1" w:rsidP="00AA79E1">
      <w:pPr>
        <w:tabs>
          <w:tab w:val="num" w:pos="720"/>
        </w:tabs>
        <w:jc w:val="both"/>
        <w:rPr>
          <w:rFonts w:ascii="Sylfaen" w:hAnsi="Sylfaen"/>
          <w:sz w:val="16"/>
          <w:szCs w:val="16"/>
        </w:rPr>
      </w:pPr>
      <w:r w:rsidRPr="001E56F6">
        <w:rPr>
          <w:rFonts w:ascii="Sylfaen" w:hAnsi="Sylfaen"/>
          <w:sz w:val="16"/>
          <w:szCs w:val="16"/>
          <w:lang w:val="ka-GE"/>
        </w:rPr>
        <w:t xml:space="preserve"> </w:t>
      </w:r>
      <w:r w:rsidRPr="001E56F6">
        <w:rPr>
          <w:rFonts w:ascii="Sylfaen" w:hAnsi="Sylfaen"/>
          <w:bCs/>
          <w:sz w:val="16"/>
          <w:szCs w:val="16"/>
          <w:lang w:val="ka-GE"/>
        </w:rPr>
        <w:t>ბავშვის ბენეფიტის ოდენობის ზრდა</w:t>
      </w:r>
    </w:p>
    <w:p w:rsidR="002B099C" w:rsidRPr="001E56F6" w:rsidRDefault="00AA79E1" w:rsidP="000672E9">
      <w:pPr>
        <w:jc w:val="both"/>
        <w:rPr>
          <w:rFonts w:ascii="Sylfaen" w:hAnsi="Sylfaen"/>
          <w:lang w:val="ka-GE"/>
        </w:rPr>
      </w:pPr>
      <w:r w:rsidRPr="001E56F6">
        <w:rPr>
          <w:rFonts w:ascii="Sylfaen" w:hAnsi="Sylfaen"/>
        </w:rPr>
        <w:drawing>
          <wp:inline distT="0" distB="0" distL="0" distR="0" wp14:anchorId="51E2D2F3" wp14:editId="04519545">
            <wp:extent cx="3960000" cy="2411730"/>
            <wp:effectExtent l="0" t="0" r="254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79E1" w:rsidRPr="001E56F6" w:rsidRDefault="00AA79E1" w:rsidP="000672E9">
      <w:pPr>
        <w:jc w:val="both"/>
        <w:rPr>
          <w:rFonts w:ascii="Sylfaen" w:hAnsi="Sylfaen"/>
          <w:lang w:val="ka-GE"/>
        </w:rPr>
      </w:pPr>
      <w:r w:rsidRPr="001E56F6">
        <w:rPr>
          <w:rFonts w:ascii="Sylfaen" w:hAnsi="Sylfaen"/>
          <w:lang w:val="ka-GE"/>
        </w:rPr>
        <w:t xml:space="preserve">აღნიშნული ხელს შეუწყობს ბავშვთა უკიდურესი სიღარიბის 6.8%-ის შემცირებას 2.43%-ით, თუმცა მიზნობრივი სოციალური დახმარების პროგრამით დაფარულია უკიდურეს სიღარიბეში მყოფი ბავშვების დაახლოებით 3% და შესაბამისად, ამ ბავშვების </w:t>
      </w:r>
      <w:r w:rsidRPr="001E56F6">
        <w:rPr>
          <w:rFonts w:ascii="Sylfaen" w:hAnsi="Sylfaen"/>
          <w:lang w:val="ka-GE"/>
        </w:rPr>
        <w:lastRenderedPageBreak/>
        <w:t xml:space="preserve">იდენტიფიცირება, სოცალური პროგრამებით უკეთ დაფარვა და ბავშვთა უკიდურესი სიღარიბის უფრო დაბალ ნიშნულამდე ჩამოყვანა კვლავ გამოწვევად რჩება. </w:t>
      </w:r>
    </w:p>
    <w:p w:rsidR="00EF6480" w:rsidRPr="001E56F6" w:rsidRDefault="00AA79E1" w:rsidP="000672E9">
      <w:pPr>
        <w:jc w:val="both"/>
        <w:rPr>
          <w:rFonts w:ascii="Sylfaen" w:hAnsi="Sylfaen"/>
          <w:lang w:val="ka-GE"/>
        </w:rPr>
      </w:pPr>
      <w:r w:rsidRPr="001E56F6">
        <w:rPr>
          <w:rFonts w:ascii="Sylfaen" w:hAnsi="Sylfaen"/>
          <w:lang w:val="ka-GE"/>
        </w:rPr>
        <w:t xml:space="preserve">ამისათვის, ვფიქრობთ სამსჯელოა </w:t>
      </w:r>
      <w:r w:rsidR="00EF6480" w:rsidRPr="001E56F6">
        <w:rPr>
          <w:rFonts w:ascii="Sylfaen" w:hAnsi="Sylfaen"/>
          <w:lang w:val="ka-GE"/>
        </w:rPr>
        <w:t>ბავშვთ</w:t>
      </w:r>
      <w:r w:rsidRPr="001E56F6">
        <w:rPr>
          <w:rFonts w:ascii="Sylfaen" w:hAnsi="Sylfaen"/>
          <w:lang w:val="ka-GE"/>
        </w:rPr>
        <w:t xml:space="preserve">ა </w:t>
      </w:r>
      <w:r w:rsidR="00EF6480" w:rsidRPr="001E56F6">
        <w:rPr>
          <w:rFonts w:ascii="Sylfaen" w:hAnsi="Sylfaen"/>
          <w:lang w:val="ka-GE"/>
        </w:rPr>
        <w:t xml:space="preserve">სიღარიბესთან ბრძოლის დამატებითი </w:t>
      </w:r>
      <w:r w:rsidR="00AD6673">
        <w:rPr>
          <w:rFonts w:ascii="Sylfaen" w:hAnsi="Sylfaen"/>
          <w:lang w:val="ka-GE"/>
        </w:rPr>
        <w:t>ღონისძიებების</w:t>
      </w:r>
      <w:r w:rsidR="00EF6480" w:rsidRPr="001E56F6">
        <w:rPr>
          <w:rFonts w:ascii="Sylfaen" w:hAnsi="Sylfaen"/>
          <w:lang w:val="ka-GE"/>
        </w:rPr>
        <w:t xml:space="preserve"> შემოღების შესაძლებლობა:</w:t>
      </w:r>
    </w:p>
    <w:p w:rsidR="00890E2E" w:rsidRDefault="00EF6480" w:rsidP="000672E9">
      <w:pPr>
        <w:jc w:val="both"/>
        <w:rPr>
          <w:rFonts w:ascii="Sylfaen" w:hAnsi="Sylfaen"/>
        </w:rPr>
      </w:pPr>
      <w:r w:rsidRPr="001E56F6">
        <w:rPr>
          <w:rFonts w:ascii="Sylfaen" w:hAnsi="Sylfaen"/>
          <w:lang w:val="ka-GE"/>
        </w:rPr>
        <w:t>1. 0-დან 3 წლამდე ასაკის ბავშვებისთვის უნივერსალური ბავშვის 50 ლარიანი ბენეფიტის შემოღება და არსებული ბავშვის ბენეფიტის  (16 წლამდე 100000-ზე ნაკლები სარეიტინგო ქულის მქონე ოჯახებისთვის) გაგრძელება;</w:t>
      </w:r>
      <w:r w:rsidR="00890E2E">
        <w:rPr>
          <w:rFonts w:ascii="Sylfaen" w:hAnsi="Sylfaen"/>
        </w:rPr>
        <w:t xml:space="preserve"> </w:t>
      </w:r>
    </w:p>
    <w:p w:rsidR="00890E2E" w:rsidRPr="00890E2E" w:rsidRDefault="00890E2E" w:rsidP="000672E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0-დან 3 წლამდე ბავშვების რაოდენობა </w:t>
      </w:r>
      <w:r w:rsidRPr="00890E2E">
        <w:rPr>
          <w:rFonts w:ascii="Sylfaen" w:hAnsi="Sylfaen"/>
          <w:lang w:val="ka-GE"/>
        </w:rPr>
        <w:t xml:space="preserve">(გამოკლებული საარსებო შემწეობის და დემოგრაფიული მდგომარეობის გაუმჯობესების ხელშეწყობის პროგრამის ფარგლებში ფულადი ბენეფიტის მიმღები ბენეფიციარებისა) შეადგენს 175 150 </w:t>
      </w:r>
      <w:proofErr w:type="spellStart"/>
      <w:r w:rsidRPr="00890E2E">
        <w:rPr>
          <w:rFonts w:ascii="Sylfaen" w:hAnsi="Sylfaen"/>
          <w:lang w:val="ka-GE"/>
        </w:rPr>
        <w:t>ბავშვს</w:t>
      </w:r>
      <w:proofErr w:type="spellEnd"/>
      <w:r w:rsidRPr="00890E2E">
        <w:rPr>
          <w:rFonts w:ascii="Sylfaen" w:hAnsi="Sylfaen"/>
          <w:lang w:val="ka-GE"/>
        </w:rPr>
        <w:t xml:space="preserve">. მათთვის 50 ლარიანი უნივერსალური ბენეფიტის გაცემისათვის </w:t>
      </w:r>
      <w:proofErr w:type="spellStart"/>
      <w:r w:rsidRPr="00890E2E">
        <w:rPr>
          <w:rFonts w:ascii="Sylfaen" w:hAnsi="Sylfaen"/>
          <w:lang w:val="ka-GE"/>
        </w:rPr>
        <w:t>თვეში</w:t>
      </w:r>
      <w:proofErr w:type="spellEnd"/>
      <w:r w:rsidRPr="00890E2E">
        <w:rPr>
          <w:rFonts w:ascii="Sylfaen" w:hAnsi="Sylfaen"/>
          <w:lang w:val="ka-GE"/>
        </w:rPr>
        <w:t xml:space="preserve"> </w:t>
      </w:r>
      <w:proofErr w:type="spellStart"/>
      <w:r w:rsidRPr="00890E2E">
        <w:rPr>
          <w:rFonts w:ascii="Sylfaen" w:hAnsi="Sylfaen"/>
          <w:lang w:val="ka-GE"/>
        </w:rPr>
        <w:t>საჭირო</w:t>
      </w:r>
      <w:proofErr w:type="spellEnd"/>
      <w:r w:rsidRPr="00890E2E">
        <w:rPr>
          <w:rFonts w:ascii="Sylfaen" w:hAnsi="Sylfaen"/>
          <w:lang w:val="ka-GE"/>
        </w:rPr>
        <w:t xml:space="preserve"> </w:t>
      </w:r>
      <w:proofErr w:type="spellStart"/>
      <w:r w:rsidRPr="00890E2E">
        <w:rPr>
          <w:rFonts w:ascii="Sylfaen" w:hAnsi="Sylfaen"/>
          <w:lang w:val="ka-GE"/>
        </w:rPr>
        <w:t>იქნება</w:t>
      </w:r>
      <w:proofErr w:type="spellEnd"/>
      <w:r w:rsidRPr="00890E2E">
        <w:rPr>
          <w:rFonts w:ascii="Sylfaen" w:hAnsi="Sylfaen"/>
          <w:lang w:val="ka-GE"/>
        </w:rPr>
        <w:t xml:space="preserve"> 8 757 500 ლარი (წელიწადში 105 მ</w:t>
      </w:r>
      <w:r w:rsidRPr="00890E2E">
        <w:rPr>
          <w:rFonts w:ascii="Sylfaen" w:hAnsi="Sylfaen"/>
          <w:lang w:val="ka-GE"/>
        </w:rPr>
        <w:t>ლნ. ლარი</w:t>
      </w:r>
      <w:r w:rsidRPr="00890E2E">
        <w:rPr>
          <w:rFonts w:ascii="Sylfaen" w:hAnsi="Sylfaen"/>
          <w:lang w:val="ka-GE"/>
        </w:rPr>
        <w:t>)</w:t>
      </w:r>
    </w:p>
    <w:p w:rsidR="00EF6480" w:rsidRPr="00890E2E" w:rsidRDefault="00EF6480" w:rsidP="000672E9">
      <w:pPr>
        <w:jc w:val="both"/>
        <w:rPr>
          <w:rFonts w:ascii="Sylfaen" w:hAnsi="Sylfaen"/>
          <w:lang w:val="ka-GE"/>
        </w:rPr>
      </w:pPr>
      <w:r w:rsidRPr="00890E2E">
        <w:rPr>
          <w:rFonts w:ascii="Sylfaen" w:hAnsi="Sylfaen"/>
          <w:lang w:val="ka-GE"/>
        </w:rPr>
        <w:t xml:space="preserve">2. სარეიტინგო ქულის აწევა და </w:t>
      </w:r>
      <w:r w:rsidRPr="00890E2E">
        <w:rPr>
          <w:rFonts w:ascii="Sylfaen" w:hAnsi="Sylfaen"/>
          <w:lang w:val="ka-GE"/>
        </w:rPr>
        <w:t>16 წლამდე</w:t>
      </w:r>
      <w:r w:rsidRPr="00890E2E">
        <w:rPr>
          <w:rFonts w:ascii="Sylfaen" w:hAnsi="Sylfaen"/>
          <w:lang w:val="ka-GE"/>
        </w:rPr>
        <w:t xml:space="preserve"> 12</w:t>
      </w:r>
      <w:r w:rsidRPr="00890E2E">
        <w:rPr>
          <w:rFonts w:ascii="Sylfaen" w:hAnsi="Sylfaen"/>
          <w:lang w:val="ka-GE"/>
        </w:rPr>
        <w:t>0000-ზე ნაკლები სარეიტინგო ქულის მქონე ოჯახებისთვის</w:t>
      </w:r>
      <w:r w:rsidRPr="00890E2E">
        <w:rPr>
          <w:rFonts w:ascii="Sylfaen" w:hAnsi="Sylfaen"/>
          <w:lang w:val="ka-GE"/>
        </w:rPr>
        <w:t xml:space="preserve"> ბავშვის ბენეფიტის გაცემა. </w:t>
      </w:r>
      <w:r w:rsidR="00890E2E">
        <w:rPr>
          <w:rFonts w:ascii="Sylfaen" w:hAnsi="Sylfaen"/>
          <w:lang w:val="ka-GE"/>
        </w:rPr>
        <w:t xml:space="preserve">ამ შემთხვევაში ბენეფიციართა რაოდენობა იქნება </w:t>
      </w:r>
      <w:r w:rsidR="00890E2E" w:rsidRPr="00890E2E">
        <w:rPr>
          <w:rFonts w:ascii="Sylfaen" w:hAnsi="Sylfaen"/>
          <w:lang w:val="ka-GE"/>
        </w:rPr>
        <w:t xml:space="preserve">დამატებით </w:t>
      </w:r>
      <w:r w:rsidR="00890E2E" w:rsidRPr="00890E2E">
        <w:rPr>
          <w:rFonts w:ascii="Sylfaen" w:hAnsi="Sylfaen"/>
          <w:lang w:val="ka-GE"/>
        </w:rPr>
        <w:t xml:space="preserve">23 250 </w:t>
      </w:r>
      <w:proofErr w:type="spellStart"/>
      <w:r w:rsidR="00890E2E" w:rsidRPr="00890E2E">
        <w:rPr>
          <w:rFonts w:ascii="Sylfaen" w:hAnsi="Sylfaen"/>
          <w:lang w:val="ka-GE"/>
        </w:rPr>
        <w:t>ბავშვი</w:t>
      </w:r>
      <w:r w:rsidR="00890E2E" w:rsidRPr="00890E2E">
        <w:rPr>
          <w:rFonts w:ascii="Sylfaen" w:hAnsi="Sylfaen"/>
          <w:lang w:val="ka-GE"/>
        </w:rPr>
        <w:t>.</w:t>
      </w:r>
      <w:proofErr w:type="spellEnd"/>
      <w:r w:rsidR="00890E2E" w:rsidRPr="00890E2E">
        <w:rPr>
          <w:rFonts w:ascii="Sylfaen" w:hAnsi="Sylfaen"/>
          <w:lang w:val="ka-GE"/>
        </w:rPr>
        <w:t xml:space="preserve"> ბენეფიტის</w:t>
      </w:r>
      <w:r w:rsidR="00890E2E" w:rsidRPr="00890E2E">
        <w:rPr>
          <w:rFonts w:ascii="Sylfaen" w:hAnsi="Sylfaen"/>
          <w:lang w:val="ka-GE"/>
        </w:rPr>
        <w:t xml:space="preserve"> </w:t>
      </w:r>
      <w:r w:rsidR="00890E2E">
        <w:rPr>
          <w:rFonts w:ascii="Sylfaen" w:hAnsi="Sylfaen"/>
          <w:lang w:val="ka-GE"/>
        </w:rPr>
        <w:t xml:space="preserve">დაფინანსებისთვის </w:t>
      </w:r>
      <w:r w:rsidR="00890E2E" w:rsidRPr="00890E2E">
        <w:rPr>
          <w:rFonts w:ascii="Sylfaen" w:hAnsi="Sylfaen"/>
          <w:lang w:val="ka-GE"/>
        </w:rPr>
        <w:t>საჭირო იქნება თვეში</w:t>
      </w:r>
      <w:r w:rsidR="00890E2E">
        <w:rPr>
          <w:rFonts w:ascii="Sylfaen" w:hAnsi="Sylfaen"/>
          <w:lang w:val="ka-GE"/>
        </w:rPr>
        <w:t xml:space="preserve"> დამატებით</w:t>
      </w:r>
      <w:r w:rsidR="00890E2E" w:rsidRPr="00890E2E">
        <w:rPr>
          <w:rFonts w:ascii="Sylfaen" w:hAnsi="Sylfaen"/>
          <w:lang w:val="ka-GE"/>
        </w:rPr>
        <w:t xml:space="preserve"> 1 162 500 ლარი (წელიწადში</w:t>
      </w:r>
      <w:r w:rsidR="00890E2E">
        <w:rPr>
          <w:rFonts w:ascii="Sylfaen" w:hAnsi="Sylfaen"/>
          <w:lang w:val="ka-GE"/>
        </w:rPr>
        <w:t xml:space="preserve"> დამატებით </w:t>
      </w:r>
      <w:r w:rsidR="00890E2E" w:rsidRPr="00890E2E">
        <w:rPr>
          <w:rFonts w:ascii="Sylfaen" w:hAnsi="Sylfaen"/>
          <w:lang w:val="ka-GE"/>
        </w:rPr>
        <w:t>14</w:t>
      </w:r>
      <w:r w:rsidR="00890E2E">
        <w:rPr>
          <w:rFonts w:ascii="Sylfaen" w:hAnsi="Sylfaen"/>
          <w:lang w:val="ka-GE"/>
        </w:rPr>
        <w:t xml:space="preserve"> მლნ. ლარი</w:t>
      </w:r>
      <w:r w:rsidR="00890E2E" w:rsidRPr="00890E2E">
        <w:rPr>
          <w:rFonts w:ascii="Sylfaen" w:hAnsi="Sylfaen"/>
          <w:lang w:val="ka-GE"/>
        </w:rPr>
        <w:t>).</w:t>
      </w:r>
    </w:p>
    <w:p w:rsidR="00EF6480" w:rsidRPr="001E56F6" w:rsidRDefault="00EF6480" w:rsidP="00EF6480">
      <w:pPr>
        <w:jc w:val="both"/>
        <w:rPr>
          <w:rFonts w:ascii="Sylfaen" w:hAnsi="Sylfaen"/>
          <w:lang w:val="ka-GE"/>
        </w:rPr>
      </w:pPr>
      <w:r w:rsidRPr="001E56F6">
        <w:rPr>
          <w:rFonts w:ascii="Sylfaen" w:hAnsi="Sylfaen"/>
          <w:lang w:val="ka-GE"/>
        </w:rPr>
        <w:t>პარალელურად მნიშვ</w:t>
      </w:r>
      <w:r w:rsidR="001E56F6" w:rsidRPr="001E56F6">
        <w:rPr>
          <w:rFonts w:ascii="Sylfaen" w:hAnsi="Sylfaen"/>
          <w:lang w:val="ka-GE"/>
        </w:rPr>
        <w:t>ნ</w:t>
      </w:r>
      <w:r w:rsidRPr="001E56F6">
        <w:rPr>
          <w:rFonts w:ascii="Sylfaen" w:hAnsi="Sylfaen"/>
          <w:lang w:val="ka-GE"/>
        </w:rPr>
        <w:t xml:space="preserve">ელოვანია ყველა მუნიციპალიტეტში შეიქმნას </w:t>
      </w:r>
      <w:r w:rsidR="00B66B5B">
        <w:rPr>
          <w:rFonts w:ascii="Sylfaen" w:hAnsi="Sylfaen"/>
          <w:lang w:val="ka-GE"/>
        </w:rPr>
        <w:t>სიღ</w:t>
      </w:r>
      <w:r w:rsidR="00AD6673">
        <w:rPr>
          <w:rFonts w:ascii="Sylfaen" w:hAnsi="Sylfaen"/>
          <w:lang w:val="ka-GE"/>
        </w:rPr>
        <w:t xml:space="preserve">არიბეში მცხოვრები ბავშვიანი ოჯახების </w:t>
      </w:r>
      <w:r w:rsidRPr="001E56F6">
        <w:rPr>
          <w:rFonts w:ascii="Sylfaen" w:hAnsi="Sylfaen"/>
          <w:lang w:val="ka-GE"/>
        </w:rPr>
        <w:t xml:space="preserve">იდენტიფიცირება-რეფერირების მულტიდისციპლინარული გუნდი, რომელშიც შევა სსიპ სოციალური მომსახურების სააგენტოს ტერიტორიული ორგანოს თანამშრომელი ან სოციალური აგენტი, მასწავლებელი/აღმზრდელი, სოფლის ექიმი, მუნიციპალიტეტის წარმომადგენელი. ჯგუფის მიზანი იქნება </w:t>
      </w:r>
      <w:r w:rsidRPr="001E56F6">
        <w:rPr>
          <w:rFonts w:ascii="Sylfaen" w:hAnsi="Sylfaen"/>
          <w:lang w:val="ka-GE"/>
        </w:rPr>
        <w:t>შესაბამის ადმინისტრაციულ-ტერიტორიულ ერთეულებში</w:t>
      </w:r>
      <w:r w:rsidRPr="001E56F6">
        <w:rPr>
          <w:rFonts w:ascii="Sylfaen" w:hAnsi="Sylfaen"/>
        </w:rPr>
        <w:t xml:space="preserve"> </w:t>
      </w:r>
      <w:proofErr w:type="spellStart"/>
      <w:r w:rsidRPr="001E56F6">
        <w:rPr>
          <w:rFonts w:ascii="Sylfaen" w:hAnsi="Sylfaen"/>
        </w:rPr>
        <w:t>მოიძიონ</w:t>
      </w:r>
      <w:proofErr w:type="spellEnd"/>
      <w:r w:rsidRPr="001E56F6">
        <w:rPr>
          <w:rFonts w:ascii="Sylfaen" w:hAnsi="Sylfaen"/>
          <w:lang w:val="ka-GE"/>
        </w:rPr>
        <w:t xml:space="preserve"> უკიდურეს სიღატაკეში მყოფი </w:t>
      </w:r>
      <w:r w:rsidRPr="001E56F6">
        <w:rPr>
          <w:rFonts w:ascii="Sylfaen" w:hAnsi="Sylfaen"/>
          <w:lang w:val="ka-GE"/>
        </w:rPr>
        <w:t>ბავშვიანი ოჯახები და უზრუნველყონ შემთხვევების გადამისამართება სსიპ სოციალური მომსახურების სააგენტოში, რათა პროცესში ჩაერთონ უფლებამოსილი პირები და ოჯახმა მიიღოს შესაბამისი დახმარებები/სერვისები</w:t>
      </w:r>
      <w:r w:rsidR="00B66B5B">
        <w:rPr>
          <w:rFonts w:ascii="Sylfaen" w:hAnsi="Sylfaen"/>
          <w:lang w:val="ka-GE"/>
        </w:rPr>
        <w:t xml:space="preserve"> ყველა მიმართულებით (სოციალური, ჯანდაცვა, შრომა)</w:t>
      </w:r>
      <w:r w:rsidRPr="001E56F6">
        <w:rPr>
          <w:rFonts w:ascii="Sylfaen" w:hAnsi="Sylfaen"/>
          <w:lang w:val="ka-GE"/>
        </w:rPr>
        <w:t xml:space="preserve">, ასევე, ადგილობრივ მუნიციპალიტეტში, რათა </w:t>
      </w:r>
      <w:r w:rsidR="00B66B5B">
        <w:rPr>
          <w:rFonts w:ascii="Sylfaen" w:hAnsi="Sylfaen"/>
          <w:lang w:val="ka-GE"/>
        </w:rPr>
        <w:t xml:space="preserve">ოჯახებმა </w:t>
      </w:r>
      <w:r w:rsidRPr="001E56F6">
        <w:rPr>
          <w:rFonts w:ascii="Sylfaen" w:hAnsi="Sylfaen"/>
          <w:lang w:val="ka-GE"/>
        </w:rPr>
        <w:t xml:space="preserve">შეძლონ </w:t>
      </w:r>
      <w:r w:rsidR="00B66B5B">
        <w:rPr>
          <w:rFonts w:ascii="Sylfaen" w:hAnsi="Sylfaen"/>
          <w:lang w:val="ka-GE"/>
        </w:rPr>
        <w:t>და</w:t>
      </w:r>
      <w:r w:rsidRPr="001E56F6">
        <w:rPr>
          <w:rFonts w:ascii="Sylfaen" w:hAnsi="Sylfaen"/>
          <w:lang w:val="ka-GE"/>
        </w:rPr>
        <w:t>ხ</w:t>
      </w:r>
      <w:r w:rsidR="00B66B5B">
        <w:rPr>
          <w:rFonts w:ascii="Sylfaen" w:hAnsi="Sylfaen"/>
          <w:lang w:val="ka-GE"/>
        </w:rPr>
        <w:t>მ</w:t>
      </w:r>
      <w:r w:rsidRPr="001E56F6">
        <w:rPr>
          <w:rFonts w:ascii="Sylfaen" w:hAnsi="Sylfaen"/>
          <w:lang w:val="ka-GE"/>
        </w:rPr>
        <w:t xml:space="preserve">არების </w:t>
      </w:r>
      <w:r w:rsidR="00B66B5B">
        <w:rPr>
          <w:rFonts w:ascii="Sylfaen" w:hAnsi="Sylfaen"/>
          <w:lang w:val="ka-GE"/>
        </w:rPr>
        <w:t>მიღება</w:t>
      </w:r>
      <w:r w:rsidRPr="001E56F6">
        <w:rPr>
          <w:rFonts w:ascii="Sylfaen" w:hAnsi="Sylfaen"/>
          <w:lang w:val="ka-GE"/>
        </w:rPr>
        <w:t xml:space="preserve"> </w:t>
      </w:r>
      <w:r w:rsidR="00B66B5B">
        <w:rPr>
          <w:rFonts w:ascii="Sylfaen" w:hAnsi="Sylfaen"/>
          <w:lang w:val="ka-GE"/>
        </w:rPr>
        <w:t xml:space="preserve">ადგილობრივი </w:t>
      </w:r>
      <w:r w:rsidRPr="001E56F6">
        <w:rPr>
          <w:rFonts w:ascii="Sylfaen" w:hAnsi="Sylfaen"/>
          <w:lang w:val="ka-GE"/>
        </w:rPr>
        <w:t xml:space="preserve">ბიუჯეტით განსაზღვრული პროგრამების ფარგლებში. </w:t>
      </w:r>
    </w:p>
    <w:p w:rsidR="001E56F6" w:rsidRDefault="001E56F6" w:rsidP="001E56F6">
      <w:pPr>
        <w:jc w:val="both"/>
        <w:rPr>
          <w:rFonts w:ascii="Sylfaen" w:hAnsi="Sylfaen"/>
          <w:lang w:val="ka-GE"/>
        </w:rPr>
      </w:pPr>
      <w:r w:rsidRPr="001E56F6">
        <w:rPr>
          <w:rFonts w:ascii="Sylfaen" w:hAnsi="Sylfaen"/>
          <w:lang w:val="ka-GE"/>
        </w:rPr>
        <w:t xml:space="preserve">გარდა ბავშვთა სიღარიბის შემცირებისა ვფიქრობთ, საჭიროა ისეთი მექანიზმის შემოღება, რომელიც ხელს შეუწყობს </w:t>
      </w:r>
      <w:r w:rsidRPr="001E56F6">
        <w:rPr>
          <w:rFonts w:ascii="Sylfaen" w:hAnsi="Sylfaen"/>
        </w:rPr>
        <w:t xml:space="preserve">TSA </w:t>
      </w:r>
      <w:r w:rsidRPr="001E56F6">
        <w:rPr>
          <w:rFonts w:ascii="Sylfaen" w:hAnsi="Sylfaen"/>
          <w:lang w:val="ka-GE"/>
        </w:rPr>
        <w:t xml:space="preserve">პროგრამის მიზნობრიობის </w:t>
      </w:r>
      <w:r w:rsidR="00B66B5B">
        <w:rPr>
          <w:rFonts w:ascii="Sylfaen" w:hAnsi="Sylfaen"/>
          <w:lang w:val="ka-GE"/>
        </w:rPr>
        <w:t>გა</w:t>
      </w:r>
      <w:r w:rsidRPr="001E56F6">
        <w:rPr>
          <w:rFonts w:ascii="Sylfaen" w:hAnsi="Sylfaen"/>
          <w:lang w:val="ka-GE"/>
        </w:rPr>
        <w:t>ზრდას. კერძოდ,</w:t>
      </w:r>
      <w:r>
        <w:rPr>
          <w:rFonts w:ascii="Sylfaen" w:hAnsi="Sylfaen"/>
          <w:lang w:val="ka-GE"/>
        </w:rPr>
        <w:t xml:space="preserve"> </w:t>
      </w:r>
      <w:r w:rsidR="00B66B5B">
        <w:rPr>
          <w:rFonts w:ascii="Sylfaen" w:hAnsi="Sylfaen"/>
          <w:lang w:val="ka-GE"/>
        </w:rPr>
        <w:t xml:space="preserve">მიზანშეწონილად მიგვაჩნია, </w:t>
      </w:r>
      <w:r w:rsidRPr="001E56F6">
        <w:rPr>
          <w:rFonts w:ascii="Sylfaen" w:hAnsi="Sylfaen"/>
          <w:lang w:val="ka-GE"/>
        </w:rPr>
        <w:t xml:space="preserve">სსიპ სოციალური მომსახურების სააგენტოს </w:t>
      </w:r>
      <w:r>
        <w:rPr>
          <w:rFonts w:ascii="Sylfaen" w:hAnsi="Sylfaen"/>
          <w:lang w:val="ka-GE"/>
        </w:rPr>
        <w:t>სამხარეო</w:t>
      </w:r>
      <w:r w:rsidRPr="001E56F6">
        <w:rPr>
          <w:rFonts w:ascii="Sylfaen" w:hAnsi="Sylfaen"/>
          <w:lang w:val="ka-GE"/>
        </w:rPr>
        <w:t xml:space="preserve"> ცენტრ</w:t>
      </w:r>
      <w:r>
        <w:rPr>
          <w:rFonts w:ascii="Sylfaen" w:hAnsi="Sylfaen"/>
          <w:lang w:val="ka-GE"/>
        </w:rPr>
        <w:t>ებ</w:t>
      </w:r>
      <w:r w:rsidRPr="001E56F6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შეიქმნას</w:t>
      </w:r>
      <w:r w:rsidRPr="001E56F6">
        <w:rPr>
          <w:rFonts w:ascii="Sylfaen" w:hAnsi="Sylfaen"/>
          <w:lang w:val="ka-GE"/>
        </w:rPr>
        <w:t xml:space="preserve"> </w:t>
      </w:r>
      <w:r w:rsidRPr="001E56F6">
        <w:rPr>
          <w:rFonts w:ascii="Sylfaen" w:hAnsi="Sylfaen"/>
          <w:lang w:val="ka-GE"/>
        </w:rPr>
        <w:t xml:space="preserve">ოჯახის სოციალურ-ეკონომიკური მდგომარეობის დამატებითი შეფასების სპეციალური </w:t>
      </w:r>
      <w:r>
        <w:rPr>
          <w:rFonts w:ascii="Sylfaen" w:hAnsi="Sylfaen"/>
          <w:lang w:val="ka-GE"/>
        </w:rPr>
        <w:t>კომისია, რომლის</w:t>
      </w:r>
      <w:r w:rsidRPr="001E56F6">
        <w:rPr>
          <w:rFonts w:ascii="Sylfaen" w:hAnsi="Sylfaen"/>
          <w:lang w:val="ka-GE"/>
        </w:rPr>
        <w:t xml:space="preserve"> მიზანი</w:t>
      </w:r>
      <w:r>
        <w:rPr>
          <w:rFonts w:ascii="Sylfaen" w:hAnsi="Sylfaen"/>
          <w:lang w:val="ka-GE"/>
        </w:rPr>
        <w:t xml:space="preserve"> იქნება</w:t>
      </w:r>
      <w:r w:rsidRPr="001E56F6">
        <w:rPr>
          <w:rFonts w:ascii="Sylfaen" w:hAnsi="Sylfaen"/>
          <w:lang w:val="ka-GE"/>
        </w:rPr>
        <w:t xml:space="preserve"> </w:t>
      </w:r>
      <w:r w:rsidR="00B66B5B">
        <w:rPr>
          <w:rFonts w:ascii="Sylfaen" w:hAnsi="Sylfaen"/>
          <w:lang w:val="ka-GE"/>
        </w:rPr>
        <w:t xml:space="preserve">იმსჯელოს </w:t>
      </w:r>
      <w:r>
        <w:rPr>
          <w:rFonts w:ascii="Sylfaen" w:hAnsi="Sylfaen"/>
          <w:lang w:val="ka-GE"/>
        </w:rPr>
        <w:t xml:space="preserve">ისეთი ოჯახების სოციალური დახმარებით უზრუნველყოფის შესახებ, </w:t>
      </w:r>
      <w:r w:rsidRPr="001E56F6">
        <w:rPr>
          <w:rFonts w:ascii="Sylfaen" w:hAnsi="Sylfaen"/>
          <w:lang w:val="ka-GE"/>
        </w:rPr>
        <w:t>რომელთაც აქვთ მძიმე სოციალური და ჯანმრთელობის მდგომარეობა, მაგრამ ვერ მოიპოვეს საარსებო შემწეობის დანიშვნის უფლება (ვერ დაინახა ფორმულამ)</w:t>
      </w:r>
      <w:r>
        <w:rPr>
          <w:rFonts w:ascii="Sylfaen" w:hAnsi="Sylfaen"/>
          <w:lang w:val="ka-GE"/>
        </w:rPr>
        <w:t xml:space="preserve">. </w:t>
      </w:r>
      <w:r w:rsidRPr="001E56F6">
        <w:rPr>
          <w:rFonts w:ascii="Sylfaen" w:hAnsi="Sylfaen"/>
          <w:lang w:val="ka-GE"/>
        </w:rPr>
        <w:t xml:space="preserve">კომისია </w:t>
      </w:r>
      <w:r>
        <w:rPr>
          <w:rFonts w:ascii="Sylfaen" w:hAnsi="Sylfaen"/>
          <w:lang w:val="ka-GE"/>
        </w:rPr>
        <w:t>იქ</w:t>
      </w:r>
      <w:r w:rsidRPr="001E56F6">
        <w:rPr>
          <w:rFonts w:ascii="Sylfaen" w:hAnsi="Sylfaen"/>
          <w:lang w:val="ka-GE"/>
        </w:rPr>
        <w:t>ნება ხუთწევრიანი</w:t>
      </w:r>
      <w:r>
        <w:rPr>
          <w:rFonts w:ascii="Sylfaen" w:hAnsi="Sylfaen"/>
          <w:lang w:val="ka-GE"/>
        </w:rPr>
        <w:t xml:space="preserve"> </w:t>
      </w:r>
      <w:r w:rsidRPr="001E56F6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 xml:space="preserve">დაკომპლექტდება </w:t>
      </w:r>
      <w:r w:rsidRPr="001E56F6">
        <w:rPr>
          <w:rFonts w:ascii="Sylfaen" w:hAnsi="Sylfaen"/>
          <w:lang w:val="ka-GE"/>
        </w:rPr>
        <w:t xml:space="preserve">რაიონული განყოფილების უფროსი სოციალური აგენტის, სოციალური მომსახურების სააგენტოს მონიტორის, ადგილობრივი თვითმმართველობის ორგანოს სოციალური სამსახურის </w:t>
      </w:r>
      <w:r w:rsidRPr="001E56F6">
        <w:rPr>
          <w:rFonts w:ascii="Sylfaen" w:hAnsi="Sylfaen"/>
          <w:lang w:val="ka-GE"/>
        </w:rPr>
        <w:lastRenderedPageBreak/>
        <w:t>წარმომადგენლის, სახალხო დამცველის რეგიონალური ოფისის წარმომადგენლის და ადგილობრივი არასამთავრობო ორგანიზაციის წარმომადგენლისაგან.</w:t>
      </w:r>
    </w:p>
    <w:p w:rsidR="001E56F6" w:rsidRDefault="001E56F6" w:rsidP="001E56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კომისია განიხილავს მხოლოდ სპეციალური კატეგორიის ოჯახებს:</w:t>
      </w:r>
      <w:r>
        <w:rPr>
          <w:rFonts w:ascii="Sylfaen" w:hAnsi="Sylfaen"/>
          <w:lang w:val="ka-GE"/>
        </w:rPr>
        <w:t xml:space="preserve"> მარტოხელა პენსიონერი (მარტო მცხოვრები</w:t>
      </w:r>
      <w:r>
        <w:rPr>
          <w:rFonts w:ascii="Sylfaen" w:hAnsi="Sylfaen"/>
          <w:lang w:val="ka-GE"/>
        </w:rPr>
        <w:t xml:space="preserve">), </w:t>
      </w:r>
      <w:r>
        <w:rPr>
          <w:rFonts w:ascii="Sylfaen" w:hAnsi="Sylfaen"/>
          <w:lang w:val="ka-GE"/>
        </w:rPr>
        <w:t xml:space="preserve"> 75+ მარტოხელა პენსიონერი (მარტო მცხოვრები</w:t>
      </w:r>
      <w:r>
        <w:rPr>
          <w:rFonts w:ascii="Sylfaen" w:hAnsi="Sylfaen"/>
          <w:lang w:val="ka-GE"/>
        </w:rPr>
        <w:t xml:space="preserve">), </w:t>
      </w:r>
      <w:r>
        <w:rPr>
          <w:rFonts w:ascii="Sylfaen" w:hAnsi="Sylfaen"/>
          <w:lang w:val="ka-GE"/>
        </w:rPr>
        <w:t>მარტოხელა დედა არასწრულწლოვანი შვილებით, რომელთაგან ერთ-ერთ შშმ ბავშვია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მარტოხელა, მკვეთრად გამოხატული შშმპ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მხოლოდ მნიშვნელოვნად და მკვეთრად გამოხატული შშმ პირებისგან შემდგარი ოჯახი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მარტოხელა მკვეთრად გამოხატული შშმ მშობელი (მზრუნველი/მეურვე) არასრულწლოვანი შვილებით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არასრულწლოვანების, მკვეთრად გამოხატული შშმ პირების ან/და სარეცელს მიჯაჭვული პირებისგან შემდგარი ოჯახი, სადაც მხოლოდ ერთი შრომისუნარიანი პირია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ძალადობის მსხვერპლი არასრულწლოვანი შვილ(ებ)ით, რომელიც იმყოფებოდა ძალადობის თავშესაფარში</w:t>
      </w:r>
      <w:r>
        <w:rPr>
          <w:rFonts w:ascii="Sylfaen" w:hAnsi="Sylfaen"/>
          <w:lang w:val="ka-GE"/>
        </w:rPr>
        <w:t>. სარეიტინგო ქულა შეიძლება იყოს 65000-ზე მეტი და 120000-ზე ნაკლები</w:t>
      </w:r>
      <w:r w:rsidR="00BB2989">
        <w:rPr>
          <w:rFonts w:ascii="Sylfaen" w:hAnsi="Sylfaen"/>
          <w:lang w:val="ka-GE"/>
        </w:rPr>
        <w:t xml:space="preserve"> ან შესაძლებელია მსჯელობა სარეიტინგო ქულის </w:t>
      </w:r>
      <w:r w:rsidR="00B66B5B">
        <w:rPr>
          <w:rFonts w:ascii="Sylfaen" w:hAnsi="Sylfaen"/>
          <w:lang w:val="ka-GE"/>
        </w:rPr>
        <w:t>ოდენობასთ</w:t>
      </w:r>
      <w:r w:rsidR="00BB2989">
        <w:rPr>
          <w:rFonts w:ascii="Sylfaen" w:hAnsi="Sylfaen"/>
          <w:lang w:val="ka-GE"/>
        </w:rPr>
        <w:t>ან დაკავშირებით</w:t>
      </w:r>
      <w:r w:rsidR="00B66B5B">
        <w:rPr>
          <w:rFonts w:ascii="Sylfaen" w:hAnsi="Sylfaen"/>
          <w:lang w:val="ka-GE"/>
        </w:rPr>
        <w:t xml:space="preserve">, ფინანსური რესურსისა და პოტენციურ ბენეფიციართა რაოდენობის გათვალისწინებით. </w:t>
      </w:r>
    </w:p>
    <w:p w:rsidR="00B66B5B" w:rsidRDefault="00BB2989" w:rsidP="001E56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კომისიის მიერ მიღებული გადაწყვეტილება შეიძლება აისახოს უშუალოდ მეთოდოლოგიაში და ამ გადაწყვეტილებამ შეამციროს სარეიტინგო ქულა ან შესაძლოა კომისიის გადაწყვეტილების საფუძველზე ოჯახს დაენიშნოს პირობითად 20 ლარი თითოეულ წევრზე</w:t>
      </w:r>
      <w:r w:rsidR="00B66B5B">
        <w:rPr>
          <w:rFonts w:ascii="Sylfaen" w:hAnsi="Sylfaen"/>
          <w:lang w:val="ka-GE"/>
        </w:rPr>
        <w:t>.</w:t>
      </w:r>
    </w:p>
    <w:p w:rsidR="00890E2E" w:rsidRDefault="00890E2E" w:rsidP="001E56F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ვფიქრობთ, ამგვარი მიდგომა შესაძლებლობას მოგვცემს უფრო მეტი მოწყვლადი ოჯახი მოვიცვათ მიზნობრივი სოციალური დახმარებით. ასევე, ამ პროცესში შესაძლოა გამოიკვეთოს სხვა საჭიროებები და მათზე რეაგირება მოახდინოს ადგილობრივი თვითმმართველობის ორგანოებმაც. </w:t>
      </w:r>
      <w:bookmarkStart w:id="0" w:name="_GoBack"/>
      <w:bookmarkEnd w:id="0"/>
    </w:p>
    <w:p w:rsidR="00BB2989" w:rsidRDefault="00BB2989" w:rsidP="001E56F6">
      <w:pPr>
        <w:jc w:val="both"/>
        <w:rPr>
          <w:rFonts w:ascii="Sylfaen" w:hAnsi="Sylfaen"/>
          <w:lang w:val="ka-GE"/>
        </w:rPr>
      </w:pPr>
    </w:p>
    <w:p w:rsidR="001E56F6" w:rsidRPr="001E56F6" w:rsidRDefault="001E56F6" w:rsidP="001E56F6">
      <w:pPr>
        <w:jc w:val="both"/>
        <w:rPr>
          <w:rFonts w:ascii="Sylfaen" w:hAnsi="Sylfaen"/>
          <w:lang w:val="ka-GE"/>
        </w:rPr>
      </w:pPr>
    </w:p>
    <w:p w:rsidR="001E56F6" w:rsidRPr="001E56F6" w:rsidRDefault="001E56F6" w:rsidP="00EF6480">
      <w:pPr>
        <w:jc w:val="both"/>
        <w:rPr>
          <w:rFonts w:ascii="Sylfaen" w:hAnsi="Sylfaen"/>
          <w:lang w:val="ka-GE"/>
        </w:rPr>
      </w:pPr>
    </w:p>
    <w:p w:rsidR="00EF6480" w:rsidRPr="001E56F6" w:rsidRDefault="00EF6480" w:rsidP="000672E9">
      <w:pPr>
        <w:jc w:val="both"/>
        <w:rPr>
          <w:rFonts w:ascii="Sylfaen" w:hAnsi="Sylfaen"/>
          <w:lang w:val="ka-GE"/>
        </w:rPr>
      </w:pPr>
    </w:p>
    <w:sectPr w:rsidR="00EF6480" w:rsidRPr="001E5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13" w:rsidRDefault="00935713" w:rsidP="000672E9">
      <w:pPr>
        <w:spacing w:after="0" w:line="240" w:lineRule="auto"/>
      </w:pPr>
      <w:r>
        <w:separator/>
      </w:r>
    </w:p>
  </w:endnote>
  <w:endnote w:type="continuationSeparator" w:id="0">
    <w:p w:rsidR="00935713" w:rsidRDefault="00935713" w:rsidP="0006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13" w:rsidRDefault="00935713" w:rsidP="000672E9">
      <w:pPr>
        <w:spacing w:after="0" w:line="240" w:lineRule="auto"/>
      </w:pPr>
      <w:r>
        <w:separator/>
      </w:r>
    </w:p>
  </w:footnote>
  <w:footnote w:type="continuationSeparator" w:id="0">
    <w:p w:rsidR="00935713" w:rsidRDefault="00935713" w:rsidP="000672E9">
      <w:pPr>
        <w:spacing w:after="0" w:line="240" w:lineRule="auto"/>
      </w:pPr>
      <w:r>
        <w:continuationSeparator/>
      </w:r>
    </w:p>
  </w:footnote>
  <w:footnote w:id="1">
    <w:p w:rsidR="000672E9" w:rsidRPr="000672E9" w:rsidRDefault="000672E9">
      <w:pPr>
        <w:pStyle w:val="FootnoteText"/>
        <w:rPr>
          <w:sz w:val="18"/>
          <w:szCs w:val="18"/>
        </w:rPr>
      </w:pPr>
      <w:r w:rsidRPr="000672E9">
        <w:rPr>
          <w:rStyle w:val="FootnoteReference"/>
          <w:sz w:val="18"/>
          <w:szCs w:val="18"/>
        </w:rPr>
        <w:footnoteRef/>
      </w:r>
      <w:r w:rsidRPr="000672E9">
        <w:rPr>
          <w:sz w:val="18"/>
          <w:szCs w:val="18"/>
        </w:rPr>
        <w:t xml:space="preserve"> </w:t>
      </w:r>
      <w:hyperlink r:id="rId1" w:history="1">
        <w:r w:rsidRPr="000672E9">
          <w:rPr>
            <w:rStyle w:val="Hyperlink"/>
            <w:sz w:val="18"/>
            <w:szCs w:val="18"/>
          </w:rPr>
          <w:t>https://www.unicef.org/georgia/media/1261/file/WMS%20-%20GEO%20-%202017.pdf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E5ADB"/>
    <w:multiLevelType w:val="hybridMultilevel"/>
    <w:tmpl w:val="BC76AC16"/>
    <w:lvl w:ilvl="0" w:tplc="62665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E4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E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F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2D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44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69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CE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061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F4"/>
    <w:rsid w:val="000672E9"/>
    <w:rsid w:val="001E56F6"/>
    <w:rsid w:val="00291FF4"/>
    <w:rsid w:val="002B099C"/>
    <w:rsid w:val="007B478B"/>
    <w:rsid w:val="00890E2E"/>
    <w:rsid w:val="00935713"/>
    <w:rsid w:val="00AA79E1"/>
    <w:rsid w:val="00AD6673"/>
    <w:rsid w:val="00B66B5B"/>
    <w:rsid w:val="00BB2989"/>
    <w:rsid w:val="00EF6480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585C"/>
  <w15:chartTrackingRefBased/>
  <w15:docId w15:val="{870620D4-6880-404A-8DA1-F38BAD4F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672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2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72E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67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9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EF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562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91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cef.org/georgia/media/1261/file/WMS%20-%20GEO%20-%202017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'Sheet2 (3)'!$D$102:$D$106</c:f>
              <c:strCache>
                <c:ptCount val="5"/>
                <c:pt idx="0">
                  <c:v>100000-მდე</c:v>
                </c:pt>
                <c:pt idx="1">
                  <c:v>60-65000-მდე</c:v>
                </c:pt>
                <c:pt idx="2">
                  <c:v>57-60000-მდე</c:v>
                </c:pt>
                <c:pt idx="3">
                  <c:v>30-57000-მდე</c:v>
                </c:pt>
                <c:pt idx="4">
                  <c:v>0-30000-მდე</c:v>
                </c:pt>
              </c:strCache>
            </c:strRef>
          </c:cat>
          <c:val>
            <c:numRef>
              <c:f>'Sheet2 (3)'!$E$102:$E$106</c:f>
              <c:numCache>
                <c:formatCode>General</c:formatCode>
                <c:ptCount val="5"/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3B-4999-A661-C4DB142A5D8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'Sheet2 (3)'!$D$102:$D$106</c:f>
              <c:strCache>
                <c:ptCount val="5"/>
                <c:pt idx="0">
                  <c:v>100000-მდე</c:v>
                </c:pt>
                <c:pt idx="1">
                  <c:v>60-65000-მდე</c:v>
                </c:pt>
                <c:pt idx="2">
                  <c:v>57-60000-მდე</c:v>
                </c:pt>
                <c:pt idx="3">
                  <c:v>30-57000-მდე</c:v>
                </c:pt>
                <c:pt idx="4">
                  <c:v>0-30000-მდე</c:v>
                </c:pt>
              </c:strCache>
            </c:strRef>
          </c:cat>
          <c:val>
            <c:numRef>
              <c:f>'Sheet2 (3)'!$F$102:$F$106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3B-4999-A661-C4DB142A5D82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'Sheet2 (3)'!$D$102:$D$106</c:f>
              <c:strCache>
                <c:ptCount val="5"/>
                <c:pt idx="0">
                  <c:v>100000-მდე</c:v>
                </c:pt>
                <c:pt idx="1">
                  <c:v>60-65000-მდე</c:v>
                </c:pt>
                <c:pt idx="2">
                  <c:v>57-60000-მდე</c:v>
                </c:pt>
                <c:pt idx="3">
                  <c:v>30-57000-მდე</c:v>
                </c:pt>
                <c:pt idx="4">
                  <c:v>0-30000-მდე</c:v>
                </c:pt>
              </c:strCache>
            </c:strRef>
          </c:cat>
          <c:val>
            <c:numRef>
              <c:f>'Sheet2 (3)'!$G$102:$G$106</c:f>
              <c:numCache>
                <c:formatCode>General</c:formatCode>
                <c:ptCount val="5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3B-4999-A661-C4DB142A5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8780672"/>
        <c:axId val="138782208"/>
      </c:barChart>
      <c:catAx>
        <c:axId val="138780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782208"/>
        <c:crosses val="autoZero"/>
        <c:auto val="1"/>
        <c:lblAlgn val="ctr"/>
        <c:lblOffset val="100"/>
        <c:noMultiLvlLbl val="0"/>
      </c:catAx>
      <c:valAx>
        <c:axId val="138782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78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6DE8A-C6F8-4DB2-BD71-2189FFFB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7</cp:revision>
  <dcterms:created xsi:type="dcterms:W3CDTF">2019-08-12T09:13:00Z</dcterms:created>
  <dcterms:modified xsi:type="dcterms:W3CDTF">2019-08-12T12:42:00Z</dcterms:modified>
</cp:coreProperties>
</file>